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1123950" cy="1314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901" l="25581" r="-17054" t="490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ЦСИ Винзавод – сообществу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Программа дополнительных мер поддержки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для арт-сообщества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ОПЕН-КОЛЛ ДЛЯ КУРАТОРОВ И НЕЗАВИСИМЫХ ОБЪЕДИНЕНИЙ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Фонд поддержки и развития современного искусства Винзавод запускает опен-колл для кураторов и независимых объединений </w:t>
      </w:r>
      <w:r w:rsidDel="00000000" w:rsidR="00000000" w:rsidRPr="00000000">
        <w:rPr>
          <w:b w:val="1"/>
          <w:rtl w:val="0"/>
        </w:rPr>
        <w:t xml:space="preserve">с реализацией в Акцизном зале, Бродильном цехе, Большая площадь, Винтажный зал, Зеленый Ангар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Опен-колл стал возможен, благодаря </w:t>
      </w:r>
      <w:r w:rsidDel="00000000" w:rsidR="00000000" w:rsidRPr="00000000">
        <w:rPr>
          <w:i w:val="1"/>
          <w:rtl w:val="0"/>
        </w:rPr>
        <w:t xml:space="preserve">Программе дополнительных мер поддержке для арт-сообщества</w:t>
      </w:r>
      <w:r w:rsidDel="00000000" w:rsidR="00000000" w:rsidRPr="00000000">
        <w:rPr>
          <w:rtl w:val="0"/>
        </w:rPr>
        <w:t xml:space="preserve">, запущенной Фондом Винзавода в апреле 2022 года и направленной на поддержку художников, кураторов, независимых институций и объединений – всех, кто продолжает действовать и работать.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Новая инициатива Фонда – возможность для участников арт-сообщества представить свои кураторские проекты перед </w:t>
      </w:r>
      <w:r w:rsidDel="00000000" w:rsidR="00000000" w:rsidRPr="00000000">
        <w:rPr>
          <w:b w:val="1"/>
          <w:rtl w:val="0"/>
        </w:rPr>
        <w:t xml:space="preserve">экспертной аудиторией</w:t>
      </w:r>
      <w:r w:rsidDel="00000000" w:rsidR="00000000" w:rsidRPr="00000000">
        <w:rPr>
          <w:rtl w:val="0"/>
        </w:rPr>
        <w:t xml:space="preserve"> и широкой публикой, а также шанс успешно </w:t>
      </w:r>
      <w:r w:rsidDel="00000000" w:rsidR="00000000" w:rsidRPr="00000000">
        <w:rPr>
          <w:b w:val="1"/>
          <w:rtl w:val="0"/>
        </w:rPr>
        <w:t xml:space="preserve">интегрироваться в профессиональное арт-сообщество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Для выставок дедлайн подачи заявки – 14 сентября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По итогам опен-колла победителям </w:t>
      </w:r>
      <w:r w:rsidDel="00000000" w:rsidR="00000000" w:rsidRPr="00000000">
        <w:rPr>
          <w:b w:val="1"/>
          <w:rtl w:val="0"/>
        </w:rPr>
        <w:t xml:space="preserve">предоставляются пространства ЦСИ Винзавод</w:t>
      </w:r>
      <w:r w:rsidDel="00000000" w:rsidR="00000000" w:rsidRPr="00000000">
        <w:rPr>
          <w:rtl w:val="0"/>
        </w:rPr>
        <w:t xml:space="preserve">. Проекты участников опен-колла не ограничиваются форматом и могут быть как камерной экспозицией или масштабным художественным проектом, так и серией перформативных лекций или work and progress показов художественной лаборатории, и форматах, которые возможно реализовать на представленной площадке.</w:t>
      </w:r>
    </w:p>
    <w:p w:rsidR="00000000" w:rsidDel="00000000" w:rsidP="00000000" w:rsidRDefault="00000000" w:rsidRPr="00000000" w14:paraId="00000010">
      <w:pPr>
        <w:ind w:firstLine="720"/>
        <w:jc w:val="both"/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i w:val="1"/>
          <w:shd w:fill="f4cccc" w:val="clear"/>
        </w:rPr>
      </w:pPr>
      <w:r w:rsidDel="00000000" w:rsidR="00000000" w:rsidRPr="00000000">
        <w:rPr>
          <w:i w:val="1"/>
          <w:shd w:fill="f4cccc" w:val="clear"/>
          <w:rtl w:val="0"/>
        </w:rPr>
        <w:t xml:space="preserve">Всем заявителям мы рекомендуем внимательно отнестись к техническим возможностям проекта для его самостоятельной реализации. </w:t>
      </w:r>
    </w:p>
    <w:p w:rsidR="00000000" w:rsidDel="00000000" w:rsidP="00000000" w:rsidRDefault="00000000" w:rsidRPr="00000000" w14:paraId="00000012">
      <w:pPr>
        <w:ind w:firstLine="720"/>
        <w:jc w:val="both"/>
        <w:rPr/>
      </w:pPr>
      <w:r w:rsidDel="00000000" w:rsidR="00000000" w:rsidRPr="00000000">
        <w:rPr>
          <w:i w:val="1"/>
          <w:shd w:fill="f4cccc" w:val="clear"/>
          <w:rtl w:val="0"/>
        </w:rPr>
        <w:t xml:space="preserve">Список доступного оборудования и форма заявки </w:t>
      </w:r>
      <w:r w:rsidDel="00000000" w:rsidR="00000000" w:rsidRPr="00000000">
        <w:rPr>
          <w:shd w:fill="f4cccc" w:val="clear"/>
          <w:rtl w:val="0"/>
        </w:rPr>
        <w:t xml:space="preserve">по ссылке: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https://docs.google.com/forms/d/e/1FAIpQLScNYOT9mi3ts41V4Xd8GxuC5ckNIoAga_pPZiUtoxaVquDz1A/viewform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Программа дополнительных мер поддержки </w:t>
      </w:r>
      <w:r w:rsidDel="00000000" w:rsidR="00000000" w:rsidRPr="00000000">
        <w:rPr>
          <w:rtl w:val="0"/>
        </w:rPr>
        <w:t xml:space="preserve">включает в себя три проекта: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Мастерские художников;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Опен колл маркета современного искусства WIN-WIN для художников с возможностью компенсации участия;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Опен колл для кураторов и институций на предоставление Акцизного зала и Бродильного цеха для выставок.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Масштабная деятельность</w:t>
      </w:r>
      <w:r w:rsidDel="00000000" w:rsidR="00000000" w:rsidRPr="00000000">
        <w:rPr>
          <w:rtl w:val="0"/>
        </w:rPr>
        <w:t xml:space="preserve"> ЦСИ Винзавод и одноименного фонда направлена в первую очередь на поддержку творческого сообщества. На протяжении 15 лет работы Винзавод реализовывает инициативы, направленные на формирование и развитие профессиональных кадров в в современной арт-индустрии.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      Новый проект продолжает деятельность институции и одновременно решает одну из ключевых проблем, существующих на российском арт-рынке в текущей ситуации – отсутствие доступных пространств и ресурсов поддержки экспертного коммьюнити для реализации экспериментальных выставочных проектов в кураторской среде.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Центр современного искусства Винзавод</w:t>
      </w:r>
      <w:r w:rsidDel="00000000" w:rsidR="00000000" w:rsidRPr="00000000">
        <w:rPr>
          <w:rtl w:val="0"/>
        </w:rPr>
        <w:t xml:space="preserve"> — один из первых частных центров современного искусства в России. Объединив галереи, образовательные программы, студии и мастерские, Винзавод представил все направления современной культуры в одном пространстве. Центр открыт для свободного посещения и знакомства с современным искусством для самой широкой аудитории.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КОНТАКТЫ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Юля Крюкова,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Пресс-служба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Благотворительный фонд поддержки и развития 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современного искусства Винзавод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+7 960 329 19 03</w:t>
      </w:r>
    </w:p>
    <w:p w:rsidR="00000000" w:rsidDel="00000000" w:rsidP="00000000" w:rsidRDefault="00000000" w:rsidRPr="00000000" w14:paraId="00000025">
      <w:pPr>
        <w:rPr>
          <w:i w:val="1"/>
        </w:rPr>
      </w:pPr>
      <w:hyperlink r:id="rId1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press@winzavod.ru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ress@winzavod.ru" TargetMode="External"/><Relationship Id="rId9" Type="http://schemas.openxmlformats.org/officeDocument/2006/relationships/hyperlink" Target="https://docs.google.com/forms/d/e/1FAIpQLScNYOT9mi3ts41V4Xd8GxuC5ckNIoAga_pPZiUtoxaVquDz1A/viewfor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inzavod.ru/support/" TargetMode="External"/><Relationship Id="rId8" Type="http://schemas.openxmlformats.org/officeDocument/2006/relationships/hyperlink" Target="https://winzavod.ru/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